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2026 - 021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Architekten-/ Objektplanungsleistungen zur energetischen Sanierung der Valentin-Ostertag-Schule Bad Dürkheim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Gegenstand der Ausschreibung sind die Objektplanungsleistungen Gebäude und Innenräume (§ 34 HOAI, LPH 1-9, stufenweise Beauftragung) für die energetische Sanierung und Modernisierung der Valentin-Ostertag-Schule der Stadt Bad Dürkheim. Die Ausführung erfolgt im laufenden Schulbetrieb.
Das Vorhaben umfasst geförderte energetische Maßnahmen an Gebäudehülle und TGA (Dach- und Fassadendämmung, Austausch von Fenstern, Pfosten-Riegel-Fassaden und Außentüren, Jalousien/Sonnenschutzverglasung, Umstellung der Heizung von Gas auf Luft-Wasser-Wärmepumpe, Einbau dezentraler Lüftungsanlagen mit Wärmerückgewinnung und CO2-Steuerung).
Ergänzend gehören separat abzurechnende, nicht geförderte Maßnahmen zum Auftrag (Sanierung der Sanitäranlagen im EG, Treppeneinhausung als Brandschutzmaßnahme, Vergrößerung der UG-Fenster mit Schulausgängen sowie die planerische Berücksichtigung einer Photovoltaikanlage der Stadtwerke Bad Dürkheim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